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37BFF385" w:rsidR="009E2AA2" w:rsidRPr="00B77625" w:rsidRDefault="00125405" w:rsidP="009E2A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6638A2" w:rsidRPr="00664609">
        <w:rPr>
          <w:bCs/>
        </w:rPr>
        <w:t>Okružní křižovatka silnic II/355 a III/2983 Černá za Bory</w:t>
      </w:r>
      <w:r>
        <w:rPr>
          <w:rFonts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7E1CB33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31390F" w:rsidRPr="0031390F">
        <w:rPr>
          <w:b/>
          <w:bCs/>
        </w:rPr>
        <w:t>Okružní křižovatka silnic II/355 a III/2983 Černá za Bory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Pokud se toto prohlášení ukáže být nepravdivým anebo jestliže zhotovitel </w:t>
      </w:r>
      <w:proofErr w:type="gramStart"/>
      <w:r w:rsidRPr="009D7C53">
        <w:rPr>
          <w:rFonts w:ascii="Arial" w:hAnsi="Arial" w:cs="Arial"/>
        </w:rPr>
        <w:t>poruší</w:t>
      </w:r>
      <w:proofErr w:type="gramEnd"/>
      <w:r w:rsidRPr="009D7C53">
        <w:rPr>
          <w:rFonts w:ascii="Arial" w:hAnsi="Arial" w:cs="Arial"/>
        </w:rPr>
        <w:t xml:space="preserve">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B5238" w14:textId="77777777" w:rsidR="00B127DE" w:rsidRDefault="00B127DE">
      <w:r>
        <w:separator/>
      </w:r>
    </w:p>
  </w:endnote>
  <w:endnote w:type="continuationSeparator" w:id="0">
    <w:p w14:paraId="77AF600C" w14:textId="77777777" w:rsidR="00B127DE" w:rsidRDefault="00B1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853E1" w14:textId="77777777" w:rsidR="00B127DE" w:rsidRDefault="00B127DE">
      <w:r>
        <w:separator/>
      </w:r>
    </w:p>
  </w:footnote>
  <w:footnote w:type="continuationSeparator" w:id="0">
    <w:p w14:paraId="33AAED1C" w14:textId="77777777" w:rsidR="00B127DE" w:rsidRDefault="00B12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6</cp:revision>
  <cp:lastPrinted>2022-03-17T13:01:00Z</cp:lastPrinted>
  <dcterms:created xsi:type="dcterms:W3CDTF">2024-07-18T12:01:00Z</dcterms:created>
  <dcterms:modified xsi:type="dcterms:W3CDTF">2024-09-01T17:39:00Z</dcterms:modified>
</cp:coreProperties>
</file>